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Verdana" w:hAnsi="Verdana" w:eastAsia="宋体" w:cs="Verdana"/>
          <w:b w:val="0"/>
          <w:i w:val="0"/>
          <w:caps w:val="0"/>
          <w:color w:val="000000"/>
          <w:spacing w:val="0"/>
          <w:sz w:val="27"/>
          <w:szCs w:val="27"/>
          <w:shd w:val="clear" w:fill="FFFFFF"/>
          <w:lang w:eastAsia="zh-CN"/>
        </w:rPr>
      </w:pPr>
      <w:r>
        <w:rPr>
          <w:rFonts w:ascii="Verdana" w:hAnsi="Verdana" w:eastAsia="宋体" w:cs="Verdana"/>
          <w:b w:val="0"/>
          <w:i w:val="0"/>
          <w:caps w:val="0"/>
          <w:color w:val="000000"/>
          <w:spacing w:val="0"/>
          <w:sz w:val="27"/>
          <w:szCs w:val="27"/>
          <w:shd w:val="clear" w:fill="FFFFFF"/>
        </w:rPr>
        <w:t>去海底安个家</w:t>
      </w:r>
      <w:r>
        <w:rPr>
          <w:rFonts w:hint="eastAsia" w:ascii="Verdana" w:hAnsi="Verdana" w:eastAsia="宋体" w:cs="Verdana"/>
          <w:b w:val="0"/>
          <w:i w:val="0"/>
          <w:caps w:val="0"/>
          <w:color w:val="000000"/>
          <w:spacing w:val="0"/>
          <w:sz w:val="27"/>
          <w:szCs w:val="27"/>
          <w:shd w:val="clear" w:fill="FFFFFF"/>
          <w:lang w:eastAsia="zh-CN"/>
        </w:rPr>
        <w:t>（</w:t>
      </w:r>
      <w:r>
        <w:rPr>
          <w:rFonts w:hint="default" w:ascii="Verdana" w:hAnsi="Verdana" w:eastAsia="宋体" w:cs="Verdana"/>
          <w:b w:val="0"/>
          <w:i w:val="0"/>
          <w:caps w:val="0"/>
          <w:color w:val="000000"/>
          <w:spacing w:val="0"/>
          <w:sz w:val="27"/>
          <w:szCs w:val="27"/>
          <w:shd w:val="clear" w:fill="FFFFFF"/>
        </w:rPr>
        <w:t>Build a Home Under the Sea</w:t>
      </w:r>
      <w:r>
        <w:rPr>
          <w:rFonts w:hint="eastAsia" w:ascii="Verdana" w:hAnsi="Verdana" w:eastAsia="宋体" w:cs="Verdana"/>
          <w:b w:val="0"/>
          <w:i w:val="0"/>
          <w:caps w:val="0"/>
          <w:color w:val="000000"/>
          <w:spacing w:val="0"/>
          <w:sz w:val="27"/>
          <w:szCs w:val="27"/>
          <w:shd w:val="clear" w:fill="FFFFFF"/>
          <w:lang w:eastAsia="zh-CN"/>
        </w:rPr>
        <w:t>）</w:t>
      </w:r>
    </w:p>
    <w:tbl>
      <w:tblPr>
        <w:tblW w:w="2670" w:type="dxa"/>
        <w:tblCellSpacing w:w="0" w:type="dxa"/>
        <w:tblInd w:w="0" w:type="dxa"/>
        <w:shd w:val="clear"/>
        <w:tblLayout w:type="fixed"/>
        <w:tblCellMar>
          <w:top w:w="0" w:type="dxa"/>
          <w:left w:w="0" w:type="dxa"/>
          <w:bottom w:w="0" w:type="dxa"/>
          <w:right w:w="0" w:type="dxa"/>
        </w:tblCellMar>
      </w:tblPr>
      <w:tblGrid>
        <w:gridCol w:w="2670"/>
      </w:tblGrid>
      <w:tr>
        <w:tblPrEx>
          <w:shd w:val="clear"/>
          <w:tblLayout w:type="fixed"/>
          <w:tblCellMar>
            <w:top w:w="0" w:type="dxa"/>
            <w:left w:w="0" w:type="dxa"/>
            <w:bottom w:w="0" w:type="dxa"/>
            <w:right w:w="0" w:type="dxa"/>
          </w:tblCellMar>
        </w:tblPrEx>
        <w:trPr>
          <w:tblCellSpacing w:w="0" w:type="dxa"/>
        </w:trPr>
        <w:tc>
          <w:tcPr>
            <w:tcW w:w="2670" w:type="dxa"/>
            <w:shd w:val="clear"/>
            <w:tcMar>
              <w:top w:w="60" w:type="dxa"/>
              <w:left w:w="150" w:type="dxa"/>
              <w:bottom w:w="135" w:type="dxa"/>
              <w:right w:w="150" w:type="dxa"/>
            </w:tcMar>
            <w:vAlign w:val="top"/>
          </w:tcPr>
          <w:p>
            <w:pPr>
              <w:pStyle w:val="4"/>
              <w:keepNext w:val="0"/>
              <w:keepLines w:val="0"/>
              <w:widowControl/>
              <w:suppressLineNumbers w:val="0"/>
            </w:pPr>
            <w:r>
              <w:rPr>
                <w:b/>
                <w:color w:val="000000"/>
                <w:sz w:val="18"/>
                <w:szCs w:val="18"/>
                <w:bdr w:val="none" w:color="auto" w:sz="0" w:space="0"/>
              </w:rPr>
              <w:t>简介</w:t>
            </w:r>
            <w:r>
              <w:rPr>
                <w:b/>
                <w:color w:val="000000"/>
                <w:sz w:val="18"/>
                <w:szCs w:val="18"/>
                <w:bdr w:val="none" w:color="auto" w:sz="0" w:space="0"/>
              </w:rPr>
              <w:br w:type="textWrapping"/>
            </w:r>
            <w:r>
              <w:rPr>
                <w:b/>
                <w:color w:val="000000"/>
                <w:sz w:val="18"/>
                <w:szCs w:val="18"/>
                <w:bdr w:val="none" w:color="auto" w:sz="0" w:space="0"/>
              </w:rPr>
              <w:t>(At a Glance)</w:t>
            </w:r>
          </w:p>
        </w:tc>
      </w:tr>
      <w:tr>
        <w:tblPrEx>
          <w:tblLayout w:type="fixed"/>
          <w:tblCellMar>
            <w:top w:w="0" w:type="dxa"/>
            <w:left w:w="0" w:type="dxa"/>
            <w:bottom w:w="0" w:type="dxa"/>
            <w:right w:w="0" w:type="dxa"/>
          </w:tblCellMar>
        </w:tblPrEx>
        <w:trPr>
          <w:tblCellSpacing w:w="0" w:type="dxa"/>
        </w:trPr>
        <w:tc>
          <w:tcPr>
            <w:tcW w:w="2670" w:type="dxa"/>
            <w:shd w:val="clear"/>
            <w:tcMar>
              <w:top w:w="150" w:type="dxa"/>
              <w:left w:w="150" w:type="dxa"/>
              <w:bottom w:w="150" w:type="dxa"/>
              <w:right w:w="1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color w:val="666666"/>
                <w:sz w:val="16"/>
                <w:szCs w:val="16"/>
                <w:u w:val="none"/>
              </w:rPr>
            </w:pPr>
            <w:r>
              <w:rPr>
                <w:rStyle w:val="6"/>
                <w:rFonts w:ascii="宋体" w:hAnsi="宋体" w:eastAsia="宋体" w:cs="宋体"/>
                <w:color w:val="666666"/>
                <w:kern w:val="0"/>
                <w:sz w:val="16"/>
                <w:szCs w:val="16"/>
                <w:u w:val="none"/>
                <w:bdr w:val="none" w:color="auto" w:sz="0" w:space="0"/>
                <w:lang w:val="en-US" w:eastAsia="zh-CN" w:bidi="ar"/>
              </w:rPr>
              <w:t>年级：</w:t>
            </w:r>
            <w:r>
              <w:rPr>
                <w:rFonts w:ascii="宋体" w:hAnsi="宋体" w:eastAsia="宋体" w:cs="宋体"/>
                <w:color w:val="666666"/>
                <w:kern w:val="0"/>
                <w:sz w:val="16"/>
                <w:szCs w:val="16"/>
                <w:u w:val="none"/>
                <w:bdr w:val="none" w:color="auto" w:sz="0" w:space="0"/>
                <w:lang w:val="en-US" w:eastAsia="zh-CN" w:bidi="ar"/>
              </w:rPr>
              <w:t>K-2</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学科：</w:t>
            </w:r>
            <w:r>
              <w:rPr>
                <w:rFonts w:ascii="宋体" w:hAnsi="宋体" w:eastAsia="宋体" w:cs="宋体"/>
                <w:color w:val="666666"/>
                <w:kern w:val="0"/>
                <w:sz w:val="16"/>
                <w:szCs w:val="16"/>
                <w:u w:val="none"/>
                <w:bdr w:val="none" w:color="auto" w:sz="0" w:space="0"/>
                <w:lang w:val="en-US" w:eastAsia="zh-CN" w:bidi="ar"/>
              </w:rPr>
              <w:t>语文，美术</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主题：</w:t>
            </w:r>
            <w:r>
              <w:rPr>
                <w:rFonts w:ascii="宋体" w:hAnsi="宋体" w:eastAsia="宋体" w:cs="宋体"/>
                <w:color w:val="666666"/>
                <w:kern w:val="0"/>
                <w:sz w:val="16"/>
                <w:szCs w:val="16"/>
                <w:u w:val="none"/>
                <w:bdr w:val="none" w:color="auto" w:sz="0" w:space="0"/>
                <w:lang w:val="en-US" w:eastAsia="zh-CN" w:bidi="ar"/>
              </w:rPr>
              <w:t>去海底安个家</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高级思维技能：</w:t>
            </w:r>
            <w:r>
              <w:rPr>
                <w:rFonts w:ascii="宋体" w:hAnsi="宋体" w:eastAsia="宋体" w:cs="宋体"/>
                <w:color w:val="666666"/>
                <w:kern w:val="0"/>
                <w:sz w:val="16"/>
                <w:szCs w:val="16"/>
                <w:u w:val="none"/>
                <w:bdr w:val="none" w:color="auto" w:sz="0" w:space="0"/>
                <w:lang w:val="en-US" w:eastAsia="zh-CN" w:bidi="ar"/>
              </w:rPr>
              <w:t>分析，因果关系，评价</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关键学习：</w:t>
            </w:r>
            <w:r>
              <w:rPr>
                <w:rFonts w:ascii="宋体" w:hAnsi="宋体" w:eastAsia="宋体" w:cs="宋体"/>
                <w:color w:val="666666"/>
                <w:kern w:val="0"/>
                <w:sz w:val="16"/>
                <w:szCs w:val="16"/>
                <w:u w:val="none"/>
                <w:bdr w:val="none" w:color="auto" w:sz="0" w:space="0"/>
                <w:lang w:val="en-US" w:eastAsia="zh-CN" w:bidi="ar"/>
              </w:rPr>
              <w:t>语言欣赏，语文拓展研究，人与环境 </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时间：</w:t>
            </w:r>
            <w:r>
              <w:rPr>
                <w:rFonts w:ascii="宋体" w:hAnsi="宋体" w:eastAsia="宋体" w:cs="宋体"/>
                <w:color w:val="666666"/>
                <w:kern w:val="0"/>
                <w:sz w:val="16"/>
                <w:szCs w:val="16"/>
                <w:u w:val="none"/>
                <w:bdr w:val="none" w:color="auto" w:sz="0" w:space="0"/>
                <w:lang w:val="en-US" w:eastAsia="zh-CN" w:bidi="ar"/>
              </w:rPr>
              <w:t>3周，4课时</w:t>
            </w:r>
            <w:r>
              <w:rPr>
                <w:rFonts w:ascii="宋体" w:hAnsi="宋体" w:eastAsia="宋体" w:cs="宋体"/>
                <w:color w:val="666666"/>
                <w:kern w:val="0"/>
                <w:sz w:val="16"/>
                <w:szCs w:val="16"/>
                <w:u w:val="none"/>
                <w:bdr w:val="none" w:color="auto" w:sz="0" w:space="0"/>
                <w:lang w:val="en-US" w:eastAsia="zh-CN" w:bidi="ar"/>
              </w:rPr>
              <w:br w:type="textWrapping"/>
            </w:r>
            <w:r>
              <w:rPr>
                <w:rStyle w:val="6"/>
                <w:rFonts w:ascii="宋体" w:hAnsi="宋体" w:eastAsia="宋体" w:cs="宋体"/>
                <w:color w:val="666666"/>
                <w:kern w:val="0"/>
                <w:sz w:val="16"/>
                <w:szCs w:val="16"/>
                <w:u w:val="none"/>
                <w:bdr w:val="none" w:color="auto" w:sz="0" w:space="0"/>
                <w:lang w:val="en-US" w:eastAsia="zh-CN" w:bidi="ar"/>
              </w:rPr>
              <w:t>背景：</w:t>
            </w:r>
            <w:r>
              <w:rPr>
                <w:rFonts w:ascii="宋体" w:hAnsi="宋体" w:eastAsia="宋体" w:cs="宋体"/>
                <w:color w:val="666666"/>
                <w:kern w:val="0"/>
                <w:sz w:val="16"/>
                <w:szCs w:val="16"/>
                <w:u w:val="none"/>
                <w:bdr w:val="none" w:color="auto" w:sz="0" w:space="0"/>
                <w:lang w:val="en-US" w:eastAsia="zh-CN" w:bidi="ar"/>
              </w:rPr>
              <w:t>中国，广东省江门</w:t>
            </w:r>
          </w:p>
        </w:tc>
      </w:tr>
      <w:tr>
        <w:tblPrEx>
          <w:tblLayout w:type="fixed"/>
          <w:tblCellMar>
            <w:top w:w="0" w:type="dxa"/>
            <w:left w:w="0" w:type="dxa"/>
            <w:bottom w:w="0" w:type="dxa"/>
            <w:right w:w="0" w:type="dxa"/>
          </w:tblCellMar>
        </w:tblPrEx>
        <w:trPr>
          <w:trHeight w:val="75" w:hRule="atLeast"/>
          <w:tblCellSpacing w:w="0" w:type="dxa"/>
        </w:trPr>
        <w:tc>
          <w:tcPr>
            <w:tcW w:w="2670" w:type="dxa"/>
            <w:shd w:val="clear"/>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 </w:t>
            </w:r>
          </w:p>
        </w:tc>
      </w:tr>
    </w:tbl>
    <w:tbl>
      <w:tblPr>
        <w:tblStyle w:val="10"/>
        <w:tblpPr w:leftFromText="180" w:rightFromText="180" w:vertAnchor="text" w:horzAnchor="page" w:tblpX="5834" w:tblpY="-4029"/>
        <w:tblOverlap w:val="never"/>
        <w:tblW w:w="2670" w:type="dxa"/>
        <w:tblCellSpacing w:w="0" w:type="dxa"/>
        <w:tblInd w:w="0" w:type="dxa"/>
        <w:shd w:val="clear" w:color="auto" w:fill="auto"/>
        <w:tblLayout w:type="fixed"/>
        <w:tblCellMar>
          <w:top w:w="0" w:type="dxa"/>
          <w:left w:w="0" w:type="dxa"/>
          <w:bottom w:w="0" w:type="dxa"/>
          <w:right w:w="0" w:type="dxa"/>
        </w:tblCellMar>
      </w:tblPr>
      <w:tblGrid>
        <w:gridCol w:w="2670"/>
      </w:tblGrid>
      <w:tr>
        <w:tblPrEx>
          <w:shd w:val="clear" w:color="auto" w:fill="auto"/>
          <w:tblLayout w:type="fixed"/>
          <w:tblCellMar>
            <w:top w:w="0" w:type="dxa"/>
            <w:left w:w="0" w:type="dxa"/>
            <w:bottom w:w="0" w:type="dxa"/>
            <w:right w:w="0" w:type="dxa"/>
          </w:tblCellMar>
        </w:tblPrEx>
        <w:trPr>
          <w:trHeight w:val="75" w:hRule="atLeast"/>
          <w:tblCellSpacing w:w="0" w:type="dxa"/>
        </w:trPr>
        <w:tc>
          <w:tcPr>
            <w:tcW w:w="2670" w:type="dxa"/>
            <w:shd w:val="clear" w:color="auto" w:fill="auto"/>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 </w:t>
            </w:r>
          </w:p>
        </w:tc>
      </w:tr>
      <w:tr>
        <w:tblPrEx>
          <w:shd w:val="clear" w:color="auto" w:fill="auto"/>
          <w:tblLayout w:type="fixed"/>
          <w:tblCellMar>
            <w:top w:w="0" w:type="dxa"/>
            <w:left w:w="0" w:type="dxa"/>
            <w:bottom w:w="0" w:type="dxa"/>
            <w:right w:w="0" w:type="dxa"/>
          </w:tblCellMar>
        </w:tblPrEx>
        <w:trPr>
          <w:tblCellSpacing w:w="0" w:type="dxa"/>
        </w:trPr>
        <w:tc>
          <w:tcPr>
            <w:tcW w:w="2670" w:type="dxa"/>
            <w:shd w:val="clear" w:color="auto" w:fill="auto"/>
            <w:tcMar>
              <w:top w:w="60" w:type="dxa"/>
              <w:left w:w="150" w:type="dxa"/>
              <w:bottom w:w="135" w:type="dxa"/>
              <w:right w:w="150" w:type="dxa"/>
            </w:tcMar>
            <w:vAlign w:val="top"/>
          </w:tcPr>
          <w:p>
            <w:pPr>
              <w:pStyle w:val="4"/>
              <w:keepNext w:val="0"/>
              <w:keepLines w:val="0"/>
              <w:widowControl/>
              <w:suppressLineNumbers w:val="0"/>
            </w:pPr>
            <w:r>
              <w:rPr>
                <w:b/>
                <w:color w:val="000000"/>
                <w:sz w:val="18"/>
                <w:szCs w:val="18"/>
              </w:rPr>
              <w:t>所需材料</w:t>
            </w:r>
            <w:r>
              <w:rPr>
                <w:b/>
                <w:color w:val="000000"/>
                <w:sz w:val="18"/>
                <w:szCs w:val="18"/>
              </w:rPr>
              <w:br w:type="textWrapping"/>
            </w:r>
            <w:r>
              <w:rPr>
                <w:b/>
                <w:color w:val="000000"/>
                <w:sz w:val="18"/>
                <w:szCs w:val="18"/>
              </w:rPr>
              <w:t>(Things You Need)</w:t>
            </w:r>
          </w:p>
        </w:tc>
      </w:tr>
      <w:tr>
        <w:tblPrEx>
          <w:shd w:val="clear" w:color="auto" w:fill="auto"/>
          <w:tblLayout w:type="fixed"/>
          <w:tblCellMar>
            <w:top w:w="0" w:type="dxa"/>
            <w:left w:w="0" w:type="dxa"/>
            <w:bottom w:w="0" w:type="dxa"/>
            <w:right w:w="0" w:type="dxa"/>
          </w:tblCellMar>
        </w:tblPrEx>
        <w:trPr>
          <w:tblCellSpacing w:w="0" w:type="dxa"/>
        </w:trPr>
        <w:tc>
          <w:tcPr>
            <w:tcW w:w="2670" w:type="dxa"/>
            <w:shd w:val="clear" w:color="auto" w:fill="auto"/>
            <w:tcMar>
              <w:top w:w="150" w:type="dxa"/>
              <w:left w:w="150" w:type="dxa"/>
              <w:bottom w:w="150" w:type="dxa"/>
              <w:right w:w="1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color w:val="666666"/>
                <w:sz w:val="16"/>
                <w:szCs w:val="16"/>
                <w:u w:val="none"/>
              </w:rPr>
            </w:pP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"http://educate.intel.com/cn/ProjectDesign/UnitPlanIndex/BuildaHomeundertheSea/Assessment.htm"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评价</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t> </w:t>
            </w:r>
            <w:r>
              <w:rPr>
                <w:rFonts w:ascii="宋体" w:hAnsi="宋体" w:eastAsia="宋体" w:cs="宋体"/>
                <w:color w:val="666666"/>
                <w:kern w:val="0"/>
                <w:sz w:val="16"/>
                <w:szCs w:val="16"/>
                <w:u w:val="none"/>
                <w:lang w:val="en-US" w:eastAsia="zh-CN" w:bidi="ar"/>
              </w:rPr>
              <w:br w:type="textWrapping"/>
            </w: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"http://educate.intel.com/cn/ProjectDesign/UnitPlanIndex/BuildaHomeundertheSea/Standards.htm"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标准</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br w:type="textWrapping"/>
            </w: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"http://educate.intel.com/cn/ProjectDesign/UnitPlanIndex/BuildaHomeundertheSea/Resources.htm"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资源</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br w:type="textWrapping"/>
            </w: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"http://www.intel.com/cd/corporate/education/apac/zho/380367.htm" \t "E:/00%E5%BF%AB%E7%9B%98%E5%A4%87%E4%BB%BD/%E9%A1%B9%E7%9B%AE%E5%AD%A6%E4%B9%A0%E4%B8%93%E9%A2%98%E8%AF%BE%E7%A8%8B/%E8%8B%B1%E7%89%B9%E5%B0%94V10/%E9%A1%B9%E7%9B%AE%E5%AD%A6%E4%B9%A0%E8%8C%83%E4%BE%8B/%E5%8D%95%E5%85%83%E4%BD%9C%E5%93%81%E9%9B%86-%E5%B0%8F%E5%AD%A6%E8%8C%83%E4%BE%8B/_blank"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打印单元内容</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t> (PDF 1.07MB)</w:t>
            </w:r>
          </w:p>
        </w:tc>
      </w:tr>
    </w:tbl>
    <w:p>
      <w:pPr>
        <w:keepNext w:val="0"/>
        <w:keepLines w:val="0"/>
        <w:widowControl/>
        <w:suppressLineNumbers w:val="0"/>
        <w:shd w:val="clear" w:fill="FFFFFF"/>
        <w:spacing w:line="240" w:lineRule="auto"/>
        <w:ind w:left="0" w:firstLine="0"/>
        <w:jc w:val="left"/>
        <w:rPr>
          <w:rFonts w:ascii="Verdana" w:hAnsi="Verdana" w:cs="Verdana"/>
          <w:b w:val="0"/>
          <w:i w:val="0"/>
          <w:caps w:val="0"/>
          <w:color w:val="000000"/>
          <w:spacing w:val="0"/>
          <w:sz w:val="27"/>
          <w:szCs w:val="27"/>
        </w:rPr>
      </w:pPr>
      <w:r>
        <w:rPr>
          <w:rFonts w:hint="default" w:ascii="Verdana" w:hAnsi="Verdana" w:eastAsia="宋体" w:cs="Verdana"/>
          <w:b w:val="0"/>
          <w:i w:val="0"/>
          <w:caps w:val="0"/>
          <w:color w:val="000000"/>
          <w:spacing w:val="0"/>
          <w:kern w:val="0"/>
          <w:sz w:val="27"/>
          <w:szCs w:val="27"/>
          <w:shd w:val="clear" w:fill="FFFFFF"/>
          <w:lang w:val="en-US" w:eastAsia="zh-CN" w:bidi="ar"/>
        </w:rPr>
        <w:fldChar w:fldCharType="begin"/>
      </w:r>
      <w:r>
        <w:rPr>
          <w:rFonts w:hint="default" w:ascii="Verdana" w:hAnsi="Verdana" w:eastAsia="宋体" w:cs="Verdana"/>
          <w:b w:val="0"/>
          <w:i w:val="0"/>
          <w:caps w:val="0"/>
          <w:color w:val="000000"/>
          <w:spacing w:val="0"/>
          <w:kern w:val="0"/>
          <w:sz w:val="27"/>
          <w:szCs w:val="27"/>
          <w:shd w:val="clear" w:fill="FFFFFF"/>
          <w:lang w:val="en-US" w:eastAsia="zh-CN" w:bidi="ar"/>
        </w:rPr>
        <w:instrText xml:space="preserve">INCLUDEPICTURE \d "E:\\00å¿«çå¤ä»½\\é¡¹ç®å­¦ä¹ ä¸é¢è¯¾ç¨\\è±ç¹å°V10\\é¡¹ç®å­¦ä¹ èä¾\\ååä½åé-å°å­¦èä¾\\Intel Education 教学设计集锦 去海底安个家_files\\spacer.gif" \* MERGEFORMATINET </w:instrText>
      </w:r>
      <w:r>
        <w:rPr>
          <w:rFonts w:hint="default" w:ascii="Verdana" w:hAnsi="Verdana" w:eastAsia="宋体" w:cs="Verdana"/>
          <w:b w:val="0"/>
          <w:i w:val="0"/>
          <w:caps w:val="0"/>
          <w:color w:val="000000"/>
          <w:spacing w:val="0"/>
          <w:kern w:val="0"/>
          <w:sz w:val="27"/>
          <w:szCs w:val="27"/>
          <w:shd w:val="clear" w:fill="FFFFFF"/>
          <w:lang w:val="en-US" w:eastAsia="zh-CN" w:bidi="ar"/>
        </w:rPr>
        <w:fldChar w:fldCharType="separate"/>
      </w:r>
      <w:r>
        <w:rPr>
          <w:rFonts w:hint="default" w:ascii="Verdana" w:hAnsi="Verdana" w:eastAsia="宋体" w:cs="Verdana"/>
          <w:b w:val="0"/>
          <w:i w:val="0"/>
          <w:caps w:val="0"/>
          <w:color w:val="000000"/>
          <w:spacing w:val="0"/>
          <w:kern w:val="0"/>
          <w:sz w:val="27"/>
          <w:szCs w:val="27"/>
          <w:shd w:val="clear" w:fill="FFFFFF"/>
          <w:lang w:val="en-US" w:eastAsia="zh-CN" w:bidi="ar"/>
        </w:rPr>
        <w:drawing>
          <wp:inline distT="0" distB="0" distL="114300" distR="114300">
            <wp:extent cx="2038350" cy="952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2038350" cy="9525"/>
                    </a:xfrm>
                    <a:prstGeom prst="rect">
                      <a:avLst/>
                    </a:prstGeom>
                    <a:noFill/>
                    <a:ln w="9525">
                      <a:noFill/>
                    </a:ln>
                  </pic:spPr>
                </pic:pic>
              </a:graphicData>
            </a:graphic>
          </wp:inline>
        </w:drawing>
      </w:r>
      <w:r>
        <w:rPr>
          <w:rFonts w:hint="default" w:ascii="Verdana" w:hAnsi="Verdana" w:eastAsia="宋体" w:cs="Verdana"/>
          <w:b w:val="0"/>
          <w:i w:val="0"/>
          <w:caps w:val="0"/>
          <w:color w:val="000000"/>
          <w:spacing w:val="0"/>
          <w:kern w:val="0"/>
          <w:sz w:val="27"/>
          <w:szCs w:val="27"/>
          <w:shd w:val="clear" w:fill="FFFFFF"/>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ascii="Verdana" w:hAnsi="Verdana" w:eastAsia="宋体" w:cs="Verdana"/>
          <w:b w:val="0"/>
          <w:i w:val="0"/>
          <w:caps w:val="0"/>
          <w:color w:val="007C92"/>
          <w:spacing w:val="0"/>
          <w:kern w:val="0"/>
          <w:sz w:val="21"/>
          <w:szCs w:val="21"/>
          <w:shd w:val="clear" w:fill="FFFFFF"/>
          <w:lang w:val="en-US" w:eastAsia="zh-CN" w:bidi="ar"/>
        </w:rPr>
        <w:t>单元概述 / Unit Summary</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海底会成为我们的新家吗？这个忧喜参半的问题带着孩子们遨游美丽的海底，发现海洋正面临着与陆地同样的生态危机。他们从课文学习阅读与表达、观察与发现的技能。他们从课本以外收集信息，了解海底安家的可能性，以及它与维护全球环境之间的关系。最后，他们以表演海底发生的各种变化来显示自己的理解，并用博客制作一个与校内外孩子和成人一起永远关注地球环境的学习交流平台。这里，环境责任的履行迈出了新一步，而知识的探究则永无止境。</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7C92"/>
          <w:spacing w:val="0"/>
          <w:kern w:val="0"/>
          <w:sz w:val="21"/>
          <w:szCs w:val="21"/>
          <w:shd w:val="clear" w:fill="FFFFFF"/>
          <w:lang w:val="en-US" w:eastAsia="zh-CN" w:bidi="ar"/>
        </w:rPr>
        <w:t>课程框架问题 / Curriculum-Framing Questions</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Essential Question: 基本问题</w:t>
      </w:r>
      <w:r>
        <w:rPr>
          <w:rStyle w:val="6"/>
          <w:rFonts w:hint="default" w:ascii="Verdana" w:hAnsi="Verdana" w:cs="Verdana"/>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海底会成为我们新的家吗？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Unit Questions: 单元问题</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海底世界怎样精彩？</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海底的变化给我们带来什么？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Content Questions: 内容问题</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海底有什么？</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我将怎样告诉别人海底的精彩？</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海底在发生什么变化？</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我怎样保护海洋资源？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7C92"/>
          <w:spacing w:val="0"/>
          <w:sz w:val="21"/>
          <w:szCs w:val="21"/>
          <w:shd w:val="clear" w:fill="FFFFFF"/>
        </w:rPr>
        <w:t>评价过程 / Assessment Processes</w:t>
      </w:r>
      <w:r>
        <w:rPr>
          <w:rFonts w:hint="default" w:ascii="Verdana" w:hAnsi="Verdana" w:cs="Verdana"/>
          <w:b w:val="0"/>
          <w:i w:val="0"/>
          <w:caps w:val="0"/>
          <w:color w:val="007C92"/>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观察各类以学生为中心的评价在“海底世界”单元计划中是怎样使用的。这类评价帮助学生和教师制定目标，监控学生的进展情况；提供反馈；评价思维、过程、表现和成果；以及在整个学习过程中进行反思。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7C92"/>
          <w:spacing w:val="0"/>
          <w:sz w:val="21"/>
          <w:szCs w:val="21"/>
          <w:shd w:val="clear" w:fill="FFFFFF"/>
        </w:rPr>
        <w:t>教学过程 / Instructional Procedures</w:t>
      </w:r>
      <w:r>
        <w:rPr>
          <w:rFonts w:hint="default" w:ascii="Verdana" w:hAnsi="Verdana" w:cs="Verdana"/>
          <w:b w:val="0"/>
          <w:i w:val="0"/>
          <w:caps w:val="0"/>
          <w:color w:val="007C92"/>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课前准备</w:t>
      </w:r>
      <w:r>
        <w:rPr>
          <w:rStyle w:val="6"/>
          <w:rFonts w:hint="default" w:ascii="Verdana" w:hAnsi="Verdana" w:cs="Verdana"/>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提出引导性问题：海底世界怎样精彩？播放卡通片《海底总动员》片段，让学生初步感受海底世界。同时，请在节假日游览过本地或外地“海底世界”的学生做补充。学生会发现，眼睛看到的与嘴巴说出来的事物中间，往往会有一个不小的“落差”。这会增强学生把课文做范例，发展自己表达能力的愿望。</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"http://www.intel.com/cd/corporate/education/apac/zho/373557.htm"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教师演示文稿</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(PPT 303KB) 提出基本问题，海底世界这样精彩，你想像，海底会成为我们新的家吗？引导孩子讨论海底安家必需解决什么问题？如，通道、物资能源供应、抗压的建筑材料、通讯联系等，鼓励孩子说出别人没有想到的答案，考虑自己还缺少哪方面的知识，在日志上加以记录，为最后的基本问题思考初步打基础。</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公布将要完成的单元作业。</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海底安家主题博客：出示：博客</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"http://blog.sina.com.cn/chyliang"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到海底安个家之学生实例</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*。海底世界角色表演：海底动物植物讨论未来人类安家海底问题。要求扮演各种海底生物针对人类“入侵”与海底世界前景发表意见。说明 海底世界表演主题：海底正在发生怎样的变化。</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布置预习课文。</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向学生提示阅读方法：注意开头、结尾，抓住主要特征；建议有详有略地读。尝试详读与跳读结合；分节、分层弄清主要内容；要抓住典型事例，还要注意数据。</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提供</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"http://www.intel.com/cd/corporate/education/apac/zho/373303.htm"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推荐网络资源</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26KB)：阅读网页资料，除了与课文相同的阅读要求外，还要判断哪些与我们学习的主题有关，与将要完成的作业有关，把网页收集在“收藏夹”，或者摘录在记录本上。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课文知识学习</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辅导与讨论</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学习用典型和抓住特征的方法来表达。要求讨论前再次自学，划出中心词。划出与特征有关的词语。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配合</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"http://www.intel.com/cd/corporate/education/apac/zho/373292.htm"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海洋世界基础知识练习</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20KB) 展开讨论。在黑板上设立“海底背景画面”，并将学生讨论中提出的典型的动植物，用准备好的剪纸，随即一一贴在“海洋”的画面上。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有意把特征与对象搞错。如“倒退的”与“贝壳”，让学生纠错并说明理由。</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语言训练</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提出内容问题：海底有什么？ 我将怎样告诉别人海底的精彩？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再放《海底总动员》片段。让学生用抓特征和典型的方法来叙述录像中出现而课文中没有出现过的动植物。除了已经学过的特征外，鼓励学生自己发现这些动植物新的特征和新的典型。教师做适当的补充和提示。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小结课文，表扬有创意的孩子，指出练习中有困难的学生的原因。鼓励每个人在反复朗读比较后思考：我掌握了什么？我的表述有什么值得一提的亮点？我怯场吗？我发现解决自己问题的办法了吗？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项目实施</w:t>
      </w:r>
      <w:r>
        <w:rPr>
          <w:rFonts w:hint="default" w:ascii="Verdana" w:hAnsi="Verdana" w:cs="Verdana"/>
          <w:b w:val="0"/>
          <w:i w:val="0"/>
          <w:caps w:val="0"/>
          <w:color w:val="000000"/>
          <w:spacing w:val="0"/>
          <w:sz w:val="21"/>
          <w:szCs w:val="21"/>
          <w:shd w:val="clear" w:fill="FFFFFF"/>
        </w:rPr>
        <w:t>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说明任务</w:t>
      </w:r>
      <w:r>
        <w:rPr>
          <w:rFonts w:hint="default" w:ascii="Verdana" w:hAnsi="Verdana" w:cs="Verdana"/>
          <w:b w:val="0"/>
          <w:i w:val="0"/>
          <w:caps w:val="0"/>
          <w:color w:val="000000"/>
          <w:spacing w:val="0"/>
          <w:sz w:val="21"/>
          <w:szCs w:val="21"/>
          <w:bdr w:val="none" w:color="auto" w:sz="0" w:space="0"/>
          <w:shd w:val="clear" w:fill="FFFFFF"/>
        </w:rPr>
        <w:t>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布置有关“海底世界”表演与“海底论坛”博客的主题与任务。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海底世界</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提出分组类别，动物组，植物组，矿物组，其它组。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指导：“其它组”代表着海底出人意料的事情，如，沉船，火山爆发，污染物等。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表演题目是“今天的海底世界”。要求，动物、植物、矿物组不但要找到自己的名称和特征，还要考虑，遭遇“其它组”因素的突然“来访”，会有什么反应和后果。通过表演回答：海底世界在发生怎样的变化？出示</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"http://www.intel.com/cd/corporate/education/apac/zho/373291.htm"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海底世界表演评价量规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29KB)。</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海底安家博客</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建立海底安家主题博客。分别由各组代表阐述观点和辩论。论坛主题是“未来海底：准备把人类的家安在哪里？”教师指导各组注册新浪博客，出示</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"http://www.intel.com/cd/corporate/education/apac/zho/373287.htm"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博客评价量规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36.5KB)。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引导探究</w:t>
      </w:r>
      <w:r>
        <w:rPr>
          <w:rFonts w:hint="default" w:ascii="Verdana" w:hAnsi="Verdana" w:cs="Verdana"/>
          <w:b w:val="0"/>
          <w:i w:val="0"/>
          <w:caps w:val="0"/>
          <w:color w:val="000000"/>
          <w:spacing w:val="0"/>
          <w:sz w:val="21"/>
          <w:szCs w:val="21"/>
          <w:bdr w:val="none" w:color="auto" w:sz="0" w:space="0"/>
          <w:shd w:val="clear" w:fill="FFFFFF"/>
        </w:rPr>
        <w:t>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讨论“数据矛盾”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海底世界》是一篇老课文，原来一直认为海底有3万种动物，而现在的资料表明，有15万种动物。问学生，3万和15万哪个对，怎样看这种矛盾？是否随着时间的发展，新发现动物的品种会越来越多？思考这个问题，对各组的准备工作有什么意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导入问题</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从“你知道现在的大海是怎样的吗？”引出单元问题：海底的变化给我们带来什么？内容问题： 海底在发生什么变化？ 我怎样保护海洋资源？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信息收集和处理</w:t>
      </w:r>
      <w:r>
        <w:rPr>
          <w:rFonts w:hint="default" w:ascii="Verdana" w:hAnsi="Verdana" w:cs="Verdana"/>
          <w:b w:val="0"/>
          <w:i w:val="0"/>
          <w:caps w:val="0"/>
          <w:color w:val="000000"/>
          <w:spacing w:val="0"/>
          <w:sz w:val="21"/>
          <w:szCs w:val="21"/>
          <w:shd w:val="clear" w:fill="FFFFFF"/>
        </w:rPr>
        <w:t> </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让学生利用网络资源、图书资源、影音资源，从中查找资料，分组自主研究，收集有关海底的各类信息。教师指导学生提炼出与主题有关的观点和支持材料。各小组建立专门的文件夹存放研究结果，统一命名为“海底数据库”，资源共享。从中选择与主题相关的材料，上传到博客上。组织学生对博客如何根据主题对各种资料分类进行讨论，容许更改实例中认为不合适的类别，讲清理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重点讨论</w:t>
      </w:r>
      <w:bookmarkStart w:id="0" w:name="_GoBack"/>
      <w:bookmarkEnd w:id="0"/>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重点讨论基本问题关于“海底安家”的可能性及其利弊，以及对海洋环境可能造成的破坏；鼓励多角度思考，例如，当人类无法在陆地上找到洁净的环境时在海洋深处能够找到自己的家吗？鼓励学生就基本问题展开畅想，用多种形式：科幻小品或者小论文，或者图画，（</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"http://www.intel.com/cd/corporate/education/apac/zho/373290.htm"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绘画要求</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19.5 KB)）表达自己的理解。对发表的文字或图片做好记录，填写</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"http://www.intel.com/cd/corporate/education/apac/zho/373288.htm"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小组工作表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31KB)。</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走出课堂</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鼓励学生走出课本，走出课堂，倾听不同的意见。鼓励他们用博客为学生搭建了另一个学习平台，学生通过网络，同社会上不同年龄，不同阶层的人交流，了解他们对海底世界的不同看法。全班学生再根据创建的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"http://www.intel.com/cd/corporate/education/apac/zho/373287.htm"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博客评价量规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36.5KB) 对各小组的探究成果进行评分，评出表现出色的小组，并对其进行奖励。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展示交流</w:t>
      </w:r>
      <w:r>
        <w:rPr>
          <w:rFonts w:hint="default" w:ascii="Verdana" w:hAnsi="Verdana" w:cs="Verdana"/>
          <w:b w:val="0"/>
          <w:i w:val="0"/>
          <w:caps w:val="0"/>
          <w:color w:val="000000"/>
          <w:spacing w:val="0"/>
          <w:sz w:val="21"/>
          <w:szCs w:val="21"/>
          <w:bdr w:val="none" w:color="auto" w:sz="0" w:space="0"/>
          <w:shd w:val="clear" w:fill="FFFFFF"/>
        </w:rPr>
        <w:t>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对表演“今天的海底世界”做评价。鼓励那些在准备过程中和表演中紧扣学习目标，展现21世纪技能培养的小组和同学。</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博客交流，用博客评价量规评价学生创建的主题博客。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总结和反思</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再次提出单元的基本问题</w:t>
      </w:r>
      <w:r>
        <w:rPr>
          <w:rStyle w:val="8"/>
          <w:rFonts w:hint="default" w:ascii="Verdana" w:hAnsi="Verdana" w:cs="Verdana"/>
          <w:b w:val="0"/>
          <w:i w:val="0"/>
          <w:caps w:val="0"/>
          <w:color w:val="000000"/>
          <w:spacing w:val="0"/>
          <w:sz w:val="21"/>
          <w:szCs w:val="21"/>
          <w:shd w:val="clear" w:fill="FFFFFF"/>
        </w:rPr>
        <w:t>“海底世界是否会是我们的另一个家？”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每个学生把自己的反思记录在日志上。反思的参考问题是，我是否满意自己的“产品”？我是否认为自己了解了变化中的海洋里正在发生的事情？我的博客或表演与我预期的构想有无偏差？我在准备过程中是否保持有效的学习？出现一些小教训，对我以后有帮助吗？以后的探究活动我会有怎样的改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前需技能</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K-2 学生具有的阅读与表达能力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hint="default" w:ascii="Verdana" w:hAnsi="Verdana" w:eastAsia="宋体" w:cs="Verdana"/>
          <w:b w:val="0"/>
          <w:i w:val="0"/>
          <w:caps w:val="0"/>
          <w:color w:val="000000"/>
          <w:spacing w:val="0"/>
          <w:kern w:val="0"/>
          <w:sz w:val="21"/>
          <w:szCs w:val="21"/>
          <w:shd w:val="clear" w:fill="FFFFFF"/>
          <w:lang w:val="en-US" w:eastAsia="zh-CN" w:bidi="ar"/>
        </w:rPr>
        <w:t>计算机文字处理和网络搜寻能力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hint="default" w:ascii="Verdana" w:hAnsi="Verdana" w:eastAsia="宋体" w:cs="Verdana"/>
          <w:b w:val="0"/>
          <w:i w:val="0"/>
          <w:caps w:val="0"/>
          <w:color w:val="007C92"/>
          <w:spacing w:val="0"/>
          <w:kern w:val="0"/>
          <w:sz w:val="21"/>
          <w:szCs w:val="21"/>
          <w:shd w:val="clear" w:fill="FFFFFF"/>
          <w:lang w:val="en-US" w:eastAsia="zh-CN" w:bidi="ar"/>
        </w:rPr>
        <w:t>区别教育 / Differentiated Instruction</w:t>
      </w:r>
      <w:r>
        <w:rPr>
          <w:rFonts w:hint="default" w:ascii="Verdana" w:hAnsi="Verdana" w:eastAsia="宋体" w:cs="Verdana"/>
          <w:b w:val="0"/>
          <w:i w:val="0"/>
          <w:caps w:val="0"/>
          <w:color w:val="007C92"/>
          <w:spacing w:val="0"/>
          <w:kern w:val="0"/>
          <w:sz w:val="21"/>
          <w:szCs w:val="21"/>
          <w:shd w:val="clear" w:fill="FFFFFF"/>
          <w:lang w:val="en-US" w:eastAsia="zh-CN" w:bidi="ar"/>
        </w:rPr>
        <w:br w:type="textWrapping"/>
      </w:r>
      <w:r>
        <w:rPr>
          <w:rStyle w:val="6"/>
          <w:rFonts w:hint="default" w:ascii="Verdana" w:hAnsi="Verdana" w:eastAsia="宋体" w:cs="Verdana"/>
          <w:i w:val="0"/>
          <w:caps w:val="0"/>
          <w:color w:val="000000"/>
          <w:spacing w:val="0"/>
          <w:kern w:val="0"/>
          <w:sz w:val="21"/>
          <w:szCs w:val="21"/>
          <w:shd w:val="clear" w:fill="FFFFFF"/>
          <w:lang w:val="en-US" w:eastAsia="zh-CN" w:bidi="ar"/>
        </w:rPr>
        <w:t>需要帮助的学生 / Resource Student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角色表演中满足其扮演最感兴趣的角色的要求</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指定固定的同伴帮助其搞清楚课文语言方面的理解性障碍</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一对一帮助登录博客，并发表简单评论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Style w:val="6"/>
          <w:rFonts w:hint="default" w:ascii="Verdana" w:hAnsi="Verdana" w:eastAsia="宋体" w:cs="Verdana"/>
          <w:i w:val="0"/>
          <w:caps w:val="0"/>
          <w:color w:val="000000"/>
          <w:spacing w:val="0"/>
          <w:kern w:val="0"/>
          <w:sz w:val="21"/>
          <w:szCs w:val="21"/>
          <w:shd w:val="clear" w:fill="FFFFFF"/>
          <w:lang w:val="en-US" w:eastAsia="zh-CN" w:bidi="ar"/>
        </w:rPr>
        <w:t>天才学生 / Gifted Student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承担小组组织工作和对后进学生的关键性引导</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引领小组活动走出一般化工作状态，实现有创意的设计</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主动与社会专业人士交流，提出较有新意的观点或问题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7C92"/>
          <w:spacing w:val="0"/>
          <w:sz w:val="21"/>
          <w:szCs w:val="21"/>
          <w:shd w:val="clear" w:fill="FFFFFF"/>
        </w:rPr>
        <w:t>致谢 / Credits</w:t>
      </w:r>
      <w:r>
        <w:rPr>
          <w:rFonts w:hint="default" w:ascii="Verdana" w:hAnsi="Verdana" w:cs="Verdana"/>
          <w:b w:val="0"/>
          <w:i w:val="0"/>
          <w:caps w:val="0"/>
          <w:color w:val="007C92"/>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粱春燕，广东省江门市恩平恩城联合小学语文和信息技术教师，感谢梁老师创建了本单元计划，并将其与我们分享，同时感谢潘裕翼校长对此单元计划的修订。</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textAlignment w:val="auto"/>
        <w:outlineLvl w:val="9"/>
        <w:rPr>
          <w:rFonts w:hint="default" w:ascii="Verdana" w:hAnsi="Verdana" w:eastAsia="宋体" w:cs="Verdana"/>
          <w:b w:val="0"/>
          <w:i w:val="0"/>
          <w:caps w:val="0"/>
          <w:color w:val="000000"/>
          <w:spacing w:val="0"/>
          <w:sz w:val="21"/>
          <w:szCs w:val="21"/>
          <w:shd w:val="clear" w:fill="FFFFFF"/>
          <w:lang w:eastAsia="zh-CN"/>
        </w:rPr>
      </w:pPr>
    </w:p>
    <w:sectPr>
      <w:headerReference r:id="rId3" w:type="default"/>
      <w:footerReference r:id="rId4" w:type="default"/>
      <w:pgSz w:w="11906" w:h="16838"/>
      <w:pgMar w:top="1417" w:right="1417" w:bottom="1417" w:left="1417" w:header="567"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roman"/>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地址：石家庄东岗路75号世纪花园内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9"/>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9"/>
        <w:rFonts w:hint="eastAsia"/>
      </w:rPr>
      <w:t>www.jyfuture.com.cn</w:t>
    </w:r>
    <w:r>
      <w:fldChar w:fldCharType="end"/>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r>
      <w:rPr>
        <w:rFonts w:hint="eastAsia"/>
      </w:rPr>
      <w:fldChar w:fldCharType="begin"/>
    </w:r>
    <w:r>
      <w:rPr>
        <w:rFonts w:hint="eastAsia"/>
      </w:rPr>
      <w:instrText xml:space="preserve"> SECTIONPAGES \* MERGEFORMAT </w:instrText>
    </w:r>
    <w:r>
      <w:rPr>
        <w:rFonts w:hint="eastAsia"/>
      </w:rPr>
      <w:fldChar w:fldCharType="separate"/>
    </w:r>
    <w:r>
      <w:rPr>
        <w:rFonts w:hint="eastAsia"/>
      </w:rPr>
      <w:t>5</w:t>
    </w:r>
    <w:r>
      <w:rPr>
        <w:rFonts w:hint="eastAsia"/>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114300" distR="114300">
          <wp:extent cx="2285365" cy="376555"/>
          <wp:effectExtent l="0" t="0" r="635" b="4445"/>
          <wp:docPr id="2" name="图片 2"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学校"/>
                  <pic:cNvPicPr>
                    <a:picLocks noChangeAspect="1"/>
                  </pic:cNvPicPr>
                </pic:nvPicPr>
                <pic:blipFill>
                  <a:blip r:embed="rId1"/>
                  <a:srcRect l="5110" t="32155" b="44519"/>
                  <a:stretch>
                    <a:fillRect/>
                  </a:stretch>
                </pic:blipFill>
                <pic:spPr>
                  <a:xfrm>
                    <a:off x="0" y="0"/>
                    <a:ext cx="2285365" cy="376555"/>
                  </a:xfrm>
                  <a:prstGeom prst="rect">
                    <a:avLst/>
                  </a:prstGeom>
                  <a:noFill/>
                  <a:ln w="9525">
                    <a:noFill/>
                    <a:miter/>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8BE7"/>
    <w:multiLevelType w:val="multilevel"/>
    <w:tmpl w:val="578D8BE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78D8BF2"/>
    <w:multiLevelType w:val="multilevel"/>
    <w:tmpl w:val="578D8B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78D8BFD"/>
    <w:multiLevelType w:val="multilevel"/>
    <w:tmpl w:val="578D8B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78D8C08"/>
    <w:multiLevelType w:val="multilevel"/>
    <w:tmpl w:val="578D8C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78D8C13"/>
    <w:multiLevelType w:val="multilevel"/>
    <w:tmpl w:val="578D8C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78D8C1E"/>
    <w:multiLevelType w:val="multilevel"/>
    <w:tmpl w:val="578D8C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78D8C29"/>
    <w:multiLevelType w:val="multilevel"/>
    <w:tmpl w:val="578D8C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3CEA"/>
    <w:rsid w:val="01510BAB"/>
    <w:rsid w:val="08214E70"/>
    <w:rsid w:val="11ED3F4C"/>
    <w:rsid w:val="3CD03E7E"/>
    <w:rsid w:val="41EF1605"/>
    <w:rsid w:val="4A1264EE"/>
    <w:rsid w:val="4B5A3FD2"/>
    <w:rsid w:val="4DC22527"/>
    <w:rsid w:val="6D564D57"/>
    <w:rsid w:val="6FCA6998"/>
    <w:rsid w:val="763C3F04"/>
    <w:rsid w:val="795D3CEA"/>
    <w:rsid w:val="7B6B09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uiPriority w:val="0"/>
  </w:style>
  <w:style w:type="character" w:styleId="8">
    <w:name w:val="Emphasis"/>
    <w:basedOn w:val="5"/>
    <w:qFormat/>
    <w:uiPriority w:val="0"/>
    <w:rPr>
      <w:i/>
    </w:rPr>
  </w:style>
  <w:style w:type="character" w:styleId="9">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jtjywlxx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jyjtjywlxx25.wpt</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2016-07-19T01:48:00Z</dcterms:created>
  <dc:creator>Administrator</dc:creator>
  <cp:lastModifiedBy>Administrator</cp:lastModifiedBy>
  <dcterms:modified xsi:type="dcterms:W3CDTF">2016-07-19T01:58:40Z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